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rPr>
          <w:rFonts w:hint="eastAsia"/>
          <w:sz w:val="20"/>
        </w:rPr>
      </w:pPr>
      <w:r>
        <w:rPr>
          <w:rFonts w:hint="eastAsia"/>
          <w:sz w:val="20"/>
        </w:rPr>
        <w:t>別記第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号様式</w:t>
      </w:r>
    </w:p>
    <w:p>
      <w:pPr>
        <w:pStyle w:val="0"/>
        <w:adjustRightInd w:val="0"/>
        <w:snapToGrid w:val="0"/>
        <w:rPr>
          <w:rFonts w:hint="eastAsia"/>
        </w:rPr>
      </w:pP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pacing w:val="17"/>
          <w:fitText w:val="3150" w:id="1"/>
        </w:rPr>
        <w:t>特定移入動物飼養開始届出</w:t>
      </w:r>
      <w:r>
        <w:rPr>
          <w:rFonts w:hint="eastAsia"/>
          <w:spacing w:val="6"/>
          <w:fitText w:val="315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80" w:firstLineChars="100"/>
        <w:rPr>
          <w:rFonts w:hint="eastAsia"/>
        </w:rPr>
      </w:pPr>
      <w:r>
        <w:rPr>
          <w:rFonts w:hint="eastAsia"/>
          <w:spacing w:val="35"/>
          <w:fitText w:val="1890" w:id="2"/>
        </w:rPr>
        <w:t>北海道知事　</w:t>
      </w:r>
      <w:r>
        <w:rPr>
          <w:rFonts w:hint="eastAsia"/>
          <w:fitText w:val="1890" w:id="2"/>
        </w:rPr>
        <w:t>様</w:t>
      </w:r>
    </w:p>
    <w:p>
      <w:pPr>
        <w:pStyle w:val="0"/>
        <w:spacing w:after="240" w:afterLines="0" w:afterAutospacing="0"/>
        <w:ind w:firstLine="4200" w:firstLineChars="2000"/>
        <w:rPr>
          <w:rFonts w:hint="eastAsia"/>
        </w:rPr>
      </w:pPr>
      <w:r>
        <w:rPr>
          <w:rFonts w:hint="eastAsia"/>
        </w:rPr>
        <w:t>届出者　住所</w:t>
      </w:r>
    </w:p>
    <w:p>
      <w:pPr>
        <w:pStyle w:val="0"/>
        <w:spacing w:after="240" w:afterLines="0" w:afterAutospacing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377190</wp:posOffset>
                </wp:positionV>
                <wp:extent cx="1981200" cy="238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981200" cy="238125"/>
                        </a:xfrm>
                        <a:prstGeom prst="bracket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position:absolute;mso-position-horizontal-relative:text;height:18.75pt;z-index:2;mso-position-vertical-relative:text;width:156pt;margin-left:264.89pt;margin-top:29.7pt;" print="f" o:spid="_x0000_s1026" o:allowincell="t" o:allowoverlap="t" filled="f" stroked="t" strokecolor="#000000 [3213]" strokeweight="0.75pt" o:spt="185" type="#_x0000_t185" adj="3600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　　　氏名</w:t>
      </w:r>
    </w:p>
    <w:p>
      <w:pPr>
        <w:pStyle w:val="0"/>
        <w:adjustRightInd w:val="0"/>
        <w:snapToGrid w:val="0"/>
        <w:ind w:firstLine="5440" w:firstLineChars="3400"/>
        <w:rPr>
          <w:rFonts w:hint="eastAsia"/>
          <w:sz w:val="16"/>
        </w:rPr>
      </w:pPr>
      <w:r>
        <w:rPr>
          <w:rFonts w:hint="eastAsia"/>
          <w:sz w:val="16"/>
        </w:rPr>
        <w:t>法人にあっては、主たる事務所の所在地</w:t>
      </w:r>
    </w:p>
    <w:p>
      <w:pPr>
        <w:pStyle w:val="0"/>
        <w:adjustRightInd w:val="0"/>
        <w:snapToGrid w:val="0"/>
        <w:spacing w:line="360" w:lineRule="auto"/>
        <w:ind w:firstLine="5440" w:firstLineChars="3400"/>
        <w:rPr>
          <w:rFonts w:hint="eastAsia"/>
        </w:rPr>
      </w:pPr>
      <w:r>
        <w:rPr>
          <w:rFonts w:hint="eastAsia"/>
          <w:sz w:val="16"/>
        </w:rPr>
        <w:t>及び名称並びに代表者の氏名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電話番号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5"/>
        <w:tblpPr w:leftFromText="142" w:rightFromText="142" w:topFromText="0" w:bottomFromText="0" w:vertAnchor="text" w:horzAnchor="text" w:tblpX="207" w:tblpY="885"/>
        <w:tblW w:w="0" w:type="auto"/>
        <w:tblLayout w:type="fixed"/>
        <w:tblLook w:firstRow="1" w:lastRow="0" w:firstColumn="1" w:lastColumn="0" w:noHBand="0" w:noVBand="1" w:val="04A0"/>
      </w:tblPr>
      <w:tblGrid>
        <w:gridCol w:w="1150"/>
        <w:gridCol w:w="1050"/>
        <w:gridCol w:w="3150"/>
        <w:gridCol w:w="3150"/>
      </w:tblGrid>
      <w:tr>
        <w:trPr/>
        <w:tc>
          <w:tcPr>
            <w:tcW w:w="2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</w:tr>
      <w:tr>
        <w:trPr>
          <w:trHeight w:val="626" w:hRule="atLeast"/>
        </w:trPr>
        <w:tc>
          <w:tcPr>
            <w:tcW w:w="2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動物の種類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フェレット・プレーリードッグ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フェレット・プレーリードッグ</w:t>
            </w:r>
          </w:p>
        </w:tc>
      </w:tr>
      <w:tr>
        <w:trPr>
          <w:trHeight w:val="350" w:hRule="atLeast"/>
        </w:trPr>
        <w:tc>
          <w:tcPr>
            <w:tcW w:w="2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動物の性別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雄　　・　　雌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雄　　・　　雌</w:t>
            </w:r>
          </w:p>
        </w:tc>
      </w:tr>
      <w:tr>
        <w:trPr/>
        <w:tc>
          <w:tcPr>
            <w:tcW w:w="2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動物の年齢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　　　　か月　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　　　　か月　</w:t>
            </w:r>
          </w:p>
        </w:tc>
      </w:tr>
      <w:tr>
        <w:trPr/>
        <w:tc>
          <w:tcPr>
            <w:tcW w:w="2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動物の数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飼養施設の構造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195" w:hRule="atLeast"/>
        </w:trPr>
        <w:tc>
          <w:tcPr>
            <w:tcW w:w="2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不妊措置実施の有無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215265</wp:posOffset>
                      </wp:positionV>
                      <wp:extent cx="1133475" cy="42862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133475" cy="428625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position:absolute;mso-position-horizontal-relative:text;height:33.75pt;z-index:3;mso-position-vertical-relative:text;width:89.25pt;margin-left:58.85pt;margin-top:16.95pt;" print="f" o:spid="_x0000_s1027" o:allowincell="t" o:allowoverlap="t" filled="f" stroked="t" strokecolor="#000000 [3213]" strokeweight="0.75pt" o:spt="185" type="#_x0000_t185" adj="3600"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実施予定年月日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年　　月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215265</wp:posOffset>
                      </wp:positionV>
                      <wp:extent cx="1133475" cy="42862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133475" cy="428625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position:absolute;mso-position-horizontal-relative:text;height:33.75pt;z-index:4;mso-position-vertical-relative:text;width:89.25pt;margin-left:58.85pt;margin-top:16.95pt;" print="f" o:spid="_x0000_s1028" o:allowincell="t" o:allowoverlap="t" filled="f" stroked="t" strokecolor="#000000 [3213]" strokeweight="0.75pt" o:spt="185" type="#_x0000_t185" adj="3600"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実施予定年月日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年　　月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15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購入先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1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北海道動物の愛護及び管理に関する条例第１４条前段の規定により特定移入動物の飼養を開始したので、次のとおり届け出ます。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区分欄が３以上必要な場合は、別紙とすること。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用紙の大きさは、日本工場規格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>
      <w:pPr>
        <w:pStyle w:val="0"/>
        <w:rPr>
          <w:rFonts w:hint="eastAsia"/>
        </w:rPr>
      </w:pPr>
    </w:p>
    <w:sectPr>
      <w:pgSz w:w="11906" w:h="16838"/>
      <w:pgMar w:top="1417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